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BA3" w:rsidRDefault="006B7BA3" w:rsidP="00ED3691">
      <w:pPr>
        <w:pStyle w:val="berschrift1"/>
        <w:rPr>
          <w:i/>
          <w:lang w:val="en-GB"/>
        </w:rPr>
      </w:pPr>
      <w:r>
        <w:rPr>
          <w:lang w:val="en-GB"/>
        </w:rPr>
        <w:t xml:space="preserve">EURIZON - </w:t>
      </w:r>
      <w:r w:rsidRPr="009A5EE7">
        <w:rPr>
          <w:i/>
          <w:lang w:val="en-GB"/>
        </w:rPr>
        <w:t>European network for developing new horizons for RIs</w:t>
      </w:r>
    </w:p>
    <w:p w:rsidR="006B7BA3" w:rsidRPr="009A5EE7" w:rsidRDefault="006B7BA3" w:rsidP="006B7B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120"/>
        <w:jc w:val="both"/>
        <w:rPr>
          <w:rFonts w:eastAsiaTheme="majorEastAsia" w:cstheme="minorHAnsi"/>
          <w:b/>
          <w:color w:val="164194"/>
          <w:sz w:val="24"/>
          <w:szCs w:val="24"/>
          <w:lang w:val="en-GB"/>
        </w:rPr>
      </w:pPr>
      <w:r w:rsidRPr="009A5EE7">
        <w:rPr>
          <w:rFonts w:eastAsiaTheme="majorEastAsia" w:cstheme="minorHAnsi"/>
          <w:b/>
          <w:color w:val="164194"/>
          <w:sz w:val="24"/>
          <w:szCs w:val="24"/>
          <w:lang w:val="en-GB"/>
        </w:rPr>
        <w:t>WP4 Collaboration with X-ray light sources in Europe</w:t>
      </w:r>
    </w:p>
    <w:p w:rsidR="006B7BA3" w:rsidRPr="009A5EE7" w:rsidRDefault="006B7BA3" w:rsidP="006B7BA3">
      <w:pPr>
        <w:spacing w:before="0" w:after="120"/>
        <w:jc w:val="both"/>
        <w:rPr>
          <w:lang w:val="en-GB"/>
        </w:rPr>
      </w:pPr>
      <w:r w:rsidRPr="009A5EE7">
        <w:rPr>
          <w:b/>
          <w:lang w:val="en-GB"/>
        </w:rPr>
        <w:t>Task 4.1:</w:t>
      </w:r>
      <w:r w:rsidRPr="009A5EE7">
        <w:rPr>
          <w:lang w:val="en-GB"/>
        </w:rPr>
        <w:t xml:space="preserve"> Concepts of 4</w:t>
      </w:r>
      <w:r w:rsidRPr="009A5EE7">
        <w:rPr>
          <w:vertAlign w:val="superscript"/>
          <w:lang w:val="en-GB"/>
        </w:rPr>
        <w:t>th</w:t>
      </w:r>
      <w:r w:rsidRPr="009A5EE7">
        <w:rPr>
          <w:lang w:val="en-GB"/>
        </w:rPr>
        <w:t xml:space="preserve"> generation synchrotron machines in Europe [</w:t>
      </w:r>
      <w:r w:rsidRPr="009A5EE7">
        <w:rPr>
          <w:u w:val="single"/>
          <w:lang w:val="en-GB"/>
        </w:rPr>
        <w:t>ESRF</w:t>
      </w:r>
      <w:r w:rsidRPr="009A5EE7">
        <w:rPr>
          <w:lang w:val="en-GB"/>
        </w:rPr>
        <w:t>, DESY]</w:t>
      </w:r>
    </w:p>
    <w:p w:rsidR="00ED3691" w:rsidRPr="006B7BA3" w:rsidRDefault="00ED3691" w:rsidP="00727BA6">
      <w:pPr>
        <w:pStyle w:val="berschrift1"/>
        <w:rPr>
          <w:lang w:val="en-GB"/>
        </w:rPr>
      </w:pPr>
      <w:r w:rsidRPr="006B7BA3">
        <w:rPr>
          <w:lang w:val="en-GB"/>
        </w:rPr>
        <w:t>Beam Diagnostics</w:t>
      </w:r>
      <w:r w:rsidR="006B7BA3" w:rsidRPr="006B7BA3">
        <w:rPr>
          <w:lang w:val="en-GB"/>
        </w:rPr>
        <w:t xml:space="preserve"> Part </w:t>
      </w:r>
    </w:p>
    <w:p w:rsidR="00037C0A" w:rsidRDefault="00037C0A" w:rsidP="00727BA6">
      <w:pPr>
        <w:pStyle w:val="berschrift2"/>
        <w:spacing w:line="240" w:lineRule="auto"/>
        <w:rPr>
          <w:lang w:val="en-US"/>
        </w:rPr>
      </w:pPr>
      <w:r>
        <w:rPr>
          <w:lang w:val="en-US"/>
        </w:rPr>
        <w:t>Colleagues involved</w:t>
      </w:r>
    </w:p>
    <w:p w:rsidR="0041054A" w:rsidRDefault="0041054A" w:rsidP="0041054A">
      <w:pPr>
        <w:pStyle w:val="KeinLeerraum"/>
        <w:rPr>
          <w:u w:val="single"/>
          <w:lang w:val="en-US"/>
        </w:rPr>
      </w:pPr>
    </w:p>
    <w:p w:rsidR="00821A7F" w:rsidRDefault="00037C0A" w:rsidP="0041054A">
      <w:pPr>
        <w:pStyle w:val="KeinLeerraum"/>
        <w:rPr>
          <w:lang w:val="en-US"/>
        </w:rPr>
      </w:pPr>
      <w:r>
        <w:rPr>
          <w:u w:val="single"/>
          <w:lang w:val="en-US"/>
        </w:rPr>
        <w:t>ESR</w:t>
      </w:r>
      <w:r w:rsidR="00727BA6">
        <w:rPr>
          <w:u w:val="single"/>
          <w:lang w:val="en-US"/>
        </w:rPr>
        <w:t>F</w:t>
      </w:r>
      <w:r>
        <w:rPr>
          <w:u w:val="single"/>
          <w:lang w:val="en-US"/>
        </w:rPr>
        <w:t xml:space="preserve"> c</w:t>
      </w:r>
      <w:r w:rsidR="00ED3691" w:rsidRPr="00ED3691">
        <w:rPr>
          <w:u w:val="single"/>
          <w:lang w:val="en-US"/>
        </w:rPr>
        <w:t>olleagues involved :</w:t>
      </w:r>
      <w:r w:rsidR="00ED3691" w:rsidRPr="00ED3691">
        <w:rPr>
          <w:lang w:val="en-US"/>
        </w:rPr>
        <w:br/>
      </w:r>
      <w:r w:rsidR="00ED3691" w:rsidRPr="00ED3691">
        <w:rPr>
          <w:b/>
          <w:bCs/>
          <w:lang w:val="en-US"/>
        </w:rPr>
        <w:t>Elena Buratin</w:t>
      </w:r>
      <w:r w:rsidR="00ED3691" w:rsidRPr="00ED3691">
        <w:rPr>
          <w:lang w:val="en-US"/>
        </w:rPr>
        <w:t xml:space="preserve"> is the </w:t>
      </w:r>
      <w:proofErr w:type="spellStart"/>
      <w:r w:rsidR="00ED3691" w:rsidRPr="00ED3691">
        <w:rPr>
          <w:lang w:val="en-US"/>
        </w:rPr>
        <w:t>PostDoc</w:t>
      </w:r>
      <w:proofErr w:type="spellEnd"/>
      <w:r w:rsidR="00ED3691" w:rsidRPr="00ED3691">
        <w:rPr>
          <w:lang w:val="en-US"/>
        </w:rPr>
        <w:t xml:space="preserve"> colleague specifically assigned to this collaboration, </w:t>
      </w:r>
      <w:r w:rsidR="00ED3691" w:rsidRPr="00ED3691">
        <w:rPr>
          <w:lang w:val="en-US"/>
        </w:rPr>
        <w:br/>
        <w:t>she is not a direct expert on the exciter, but in daily contact with Benoit Roche (in the same Diagnostics group),</w:t>
      </w:r>
      <w:r w:rsidR="00ED3691" w:rsidRPr="00ED3691">
        <w:rPr>
          <w:lang w:val="en-US"/>
        </w:rPr>
        <w:t xml:space="preserve"> </w:t>
      </w:r>
      <w:r w:rsidR="00ED3691" w:rsidRPr="00ED3691">
        <w:rPr>
          <w:lang w:val="en-US"/>
        </w:rPr>
        <w:t>and she will be the principle liaison person for this task.</w:t>
      </w:r>
      <w:r w:rsidR="00ED3691" w:rsidRPr="00ED3691">
        <w:rPr>
          <w:lang w:val="en-US"/>
        </w:rPr>
        <w:br/>
      </w:r>
      <w:r w:rsidR="00ED3691" w:rsidRPr="00ED3691">
        <w:rPr>
          <w:b/>
          <w:bCs/>
          <w:lang w:val="en-US"/>
        </w:rPr>
        <w:t>Benoit Roche</w:t>
      </w:r>
      <w:r w:rsidR="00ED3691" w:rsidRPr="00ED3691">
        <w:rPr>
          <w:lang w:val="en-US"/>
        </w:rPr>
        <w:t xml:space="preserve"> is our expert of orbit feedback and responsible for the above mentioned exciters.</w:t>
      </w:r>
      <w:r w:rsidR="00ED3691" w:rsidRPr="00ED3691">
        <w:rPr>
          <w:lang w:val="en-US"/>
        </w:rPr>
        <w:br/>
        <w:t>Wherever needed he will be involved, either directly, or through Elena.</w:t>
      </w:r>
      <w:r w:rsidR="00ED3691" w:rsidRPr="00ED3691">
        <w:rPr>
          <w:lang w:val="en-US"/>
        </w:rPr>
        <w:br/>
      </w:r>
      <w:r w:rsidR="00ED3691" w:rsidRPr="00ED3691">
        <w:rPr>
          <w:b/>
          <w:bCs/>
          <w:lang w:val="en-US"/>
        </w:rPr>
        <w:t>Simone Liuzzo</w:t>
      </w:r>
      <w:r w:rsidR="00ED3691" w:rsidRPr="00ED3691">
        <w:rPr>
          <w:lang w:val="en-US"/>
        </w:rPr>
        <w:t xml:space="preserve"> is the leader of this WP4 4.1 task</w:t>
      </w:r>
      <w:r w:rsidR="00ED3691" w:rsidRPr="00ED3691">
        <w:rPr>
          <w:lang w:val="en-US"/>
        </w:rPr>
        <w:br/>
      </w:r>
      <w:proofErr w:type="spellStart"/>
      <w:r w:rsidR="00ED3691" w:rsidRPr="00ED3691">
        <w:rPr>
          <w:b/>
          <w:bCs/>
          <w:lang w:val="en-US"/>
        </w:rPr>
        <w:t>Kees</w:t>
      </w:r>
      <w:proofErr w:type="spellEnd"/>
      <w:r w:rsidR="00ED3691" w:rsidRPr="00ED3691">
        <w:rPr>
          <w:b/>
          <w:bCs/>
          <w:lang w:val="en-US"/>
        </w:rPr>
        <w:t xml:space="preserve"> Scheidt</w:t>
      </w:r>
      <w:r w:rsidR="00ED3691" w:rsidRPr="00ED3691">
        <w:rPr>
          <w:lang w:val="en-US"/>
        </w:rPr>
        <w:t xml:space="preserve"> is in principle only involved for supervisory tasks, or when needed for help with practical aspects.</w:t>
      </w:r>
    </w:p>
    <w:p w:rsidR="0041054A" w:rsidRPr="00ED3691" w:rsidRDefault="0041054A" w:rsidP="0041054A">
      <w:pPr>
        <w:pStyle w:val="KeinLeerraum"/>
        <w:rPr>
          <w:lang w:val="en-US"/>
        </w:rPr>
      </w:pPr>
    </w:p>
    <w:p w:rsidR="00ED3691" w:rsidRPr="00ED3691" w:rsidRDefault="00037C0A" w:rsidP="00ED3691">
      <w:pPr>
        <w:pStyle w:val="KeinLeerraum"/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t>DESY c</w:t>
      </w:r>
      <w:r w:rsidR="00ED3691" w:rsidRPr="00ED3691">
        <w:rPr>
          <w:rFonts w:cstheme="minorHAnsi"/>
          <w:u w:val="single"/>
          <w:lang w:val="en-US"/>
        </w:rPr>
        <w:t>olleagues involved:</w:t>
      </w:r>
    </w:p>
    <w:p w:rsidR="00ED3691" w:rsidRDefault="00ED3691" w:rsidP="00ED3691">
      <w:pPr>
        <w:pStyle w:val="KeinLeerraum"/>
        <w:rPr>
          <w:rFonts w:cstheme="minorHAnsi"/>
          <w:lang w:val="en-US"/>
        </w:rPr>
      </w:pPr>
      <w:r w:rsidRPr="00ED3691">
        <w:rPr>
          <w:rFonts w:cstheme="minorHAnsi"/>
          <w:b/>
          <w:lang w:val="en-US"/>
        </w:rPr>
        <w:t>Ilya Agapov</w:t>
      </w:r>
      <w:r w:rsidRPr="00ED3691">
        <w:rPr>
          <w:rFonts w:cstheme="minorHAnsi"/>
          <w:lang w:val="en-US"/>
        </w:rPr>
        <w:t xml:space="preserve"> (Accelerator physics</w:t>
      </w:r>
      <w:r w:rsidRPr="00ED3691">
        <w:rPr>
          <w:rFonts w:cstheme="minorHAnsi"/>
          <w:lang w:val="en-US"/>
        </w:rPr>
        <w:t xml:space="preserve"> expert,</w:t>
      </w:r>
      <w:r w:rsidRPr="00ED3691">
        <w:rPr>
          <w:rFonts w:cstheme="minorHAnsi"/>
          <w:lang w:val="en-US"/>
        </w:rPr>
        <w:t xml:space="preserve"> WP leader</w:t>
      </w:r>
      <w:r w:rsidRPr="00ED3691">
        <w:rPr>
          <w:rFonts w:cstheme="minorHAnsi"/>
          <w:lang w:val="en-US"/>
        </w:rPr>
        <w:t xml:space="preserve"> for PETRAIV, </w:t>
      </w:r>
      <w:r w:rsidR="00037C0A">
        <w:rPr>
          <w:rFonts w:cstheme="minorHAnsi"/>
          <w:lang w:val="en-US"/>
        </w:rPr>
        <w:t>beam</w:t>
      </w:r>
      <w:r w:rsidRPr="00ED3691">
        <w:rPr>
          <w:rFonts w:cstheme="minorHAnsi"/>
          <w:lang w:val="en-GB"/>
        </w:rPr>
        <w:t xml:space="preserve"> dynamics</w:t>
      </w:r>
      <w:r w:rsidRPr="00ED3691">
        <w:rPr>
          <w:rFonts w:cstheme="minorHAnsi"/>
          <w:lang w:val="en-GB"/>
        </w:rPr>
        <w:t xml:space="preserve"> expertise</w:t>
      </w:r>
      <w:r w:rsidRPr="00ED3691">
        <w:rPr>
          <w:rFonts w:cstheme="minorHAnsi"/>
          <w:lang w:val="en-US"/>
        </w:rPr>
        <w:t xml:space="preserve">) </w:t>
      </w:r>
      <w:r w:rsidRPr="00ED3691">
        <w:rPr>
          <w:rFonts w:cstheme="minorHAnsi"/>
          <w:lang w:val="en-US"/>
        </w:rPr>
        <w:br/>
      </w:r>
      <w:r w:rsidRPr="00ED3691">
        <w:rPr>
          <w:rFonts w:cstheme="minorHAnsi"/>
          <w:b/>
          <w:lang w:val="en-US"/>
        </w:rPr>
        <w:t>Holger Schlarb</w:t>
      </w:r>
      <w:r w:rsidRPr="00ED3691">
        <w:rPr>
          <w:rFonts w:cstheme="minorHAnsi"/>
          <w:lang w:val="en-US"/>
        </w:rPr>
        <w:t xml:space="preserve"> (MSK</w:t>
      </w:r>
      <w:r w:rsidRPr="00ED3691">
        <w:rPr>
          <w:rFonts w:cstheme="minorHAnsi"/>
          <w:lang w:val="en-US"/>
        </w:rPr>
        <w:t xml:space="preserve"> (accelerator beam controls)</w:t>
      </w:r>
      <w:r w:rsidRPr="00ED3691">
        <w:rPr>
          <w:rFonts w:cstheme="minorHAnsi"/>
          <w:lang w:val="en-US"/>
        </w:rPr>
        <w:t xml:space="preserve"> group leader) </w:t>
      </w:r>
      <w:r w:rsidRPr="00ED3691">
        <w:rPr>
          <w:rFonts w:cstheme="minorHAnsi"/>
          <w:lang w:val="en-US"/>
        </w:rPr>
        <w:br/>
      </w:r>
      <w:r w:rsidRPr="00ED3691">
        <w:rPr>
          <w:rFonts w:cstheme="minorHAnsi"/>
          <w:b/>
          <w:lang w:val="en-US"/>
        </w:rPr>
        <w:t>Gero Kube</w:t>
      </w:r>
      <w:r w:rsidRPr="00ED3691">
        <w:rPr>
          <w:rFonts w:cstheme="minorHAnsi"/>
          <w:lang w:val="en-US"/>
        </w:rPr>
        <w:t xml:space="preserve"> (</w:t>
      </w:r>
      <w:r w:rsidRPr="00ED3691">
        <w:rPr>
          <w:rFonts w:cstheme="minorHAnsi"/>
          <w:lang w:val="en-US"/>
        </w:rPr>
        <w:t>Diagnostics expert,</w:t>
      </w:r>
      <w:r w:rsidRPr="00ED3691">
        <w:rPr>
          <w:rFonts w:cstheme="minorHAnsi"/>
          <w:lang w:val="en-US"/>
        </w:rPr>
        <w:t xml:space="preserve"> WP leader</w:t>
      </w:r>
      <w:r w:rsidRPr="00ED3691">
        <w:rPr>
          <w:rFonts w:cstheme="minorHAnsi"/>
          <w:lang w:val="en-US"/>
        </w:rPr>
        <w:t xml:space="preserve"> for PETRA IV</w:t>
      </w:r>
      <w:r w:rsidRPr="00ED3691">
        <w:rPr>
          <w:rFonts w:cstheme="minorHAnsi"/>
          <w:lang w:val="en-US"/>
        </w:rPr>
        <w:t xml:space="preserve">) </w:t>
      </w:r>
      <w:r w:rsidRPr="00ED3691">
        <w:rPr>
          <w:rFonts w:cstheme="minorHAnsi"/>
          <w:lang w:val="en-US"/>
        </w:rPr>
        <w:br/>
      </w:r>
      <w:r w:rsidRPr="00ED3691">
        <w:rPr>
          <w:rFonts w:cstheme="minorHAnsi"/>
          <w:b/>
          <w:lang w:val="en-US"/>
        </w:rPr>
        <w:t>Szymon Jablonski</w:t>
      </w:r>
      <w:r w:rsidRPr="00ED3691">
        <w:rPr>
          <w:rFonts w:cstheme="minorHAnsi"/>
          <w:lang w:val="en-US"/>
        </w:rPr>
        <w:t xml:space="preserve"> (MBFB designer for PIV) </w:t>
      </w:r>
      <w:r w:rsidRPr="00ED3691">
        <w:rPr>
          <w:rFonts w:cstheme="minorHAnsi"/>
          <w:lang w:val="en-US"/>
        </w:rPr>
        <w:br/>
      </w:r>
      <w:r w:rsidRPr="00ED3691">
        <w:rPr>
          <w:rFonts w:cstheme="minorHAnsi"/>
          <w:b/>
          <w:lang w:val="en-US"/>
        </w:rPr>
        <w:t>Sven Pfeiffer</w:t>
      </w:r>
      <w:r w:rsidRPr="00ED3691">
        <w:rPr>
          <w:rFonts w:cstheme="minorHAnsi"/>
          <w:lang w:val="en-US"/>
        </w:rPr>
        <w:t xml:space="preserve"> (Feedback WP leader for PETRA IV) </w:t>
      </w:r>
      <w:r w:rsidRPr="00ED3691">
        <w:rPr>
          <w:rFonts w:cstheme="minorHAnsi"/>
          <w:lang w:val="en-US"/>
        </w:rPr>
        <w:br/>
      </w:r>
      <w:r w:rsidRPr="00ED3691">
        <w:rPr>
          <w:rFonts w:cstheme="minorHAnsi"/>
          <w:b/>
          <w:lang w:val="en-US"/>
        </w:rPr>
        <w:t>Sajjad Mirza</w:t>
      </w:r>
      <w:r w:rsidRPr="00ED3691">
        <w:rPr>
          <w:rFonts w:cstheme="minorHAnsi"/>
          <w:lang w:val="en-US"/>
        </w:rPr>
        <w:t xml:space="preserve"> (FOFB designer for PIV)</w:t>
      </w:r>
    </w:p>
    <w:p w:rsidR="00727BA6" w:rsidRDefault="00727BA6" w:rsidP="00ED3691">
      <w:pPr>
        <w:pStyle w:val="KeinLeerraum"/>
        <w:rPr>
          <w:rFonts w:cstheme="minorHAnsi"/>
          <w:lang w:val="en-US"/>
        </w:rPr>
      </w:pPr>
    </w:p>
    <w:p w:rsidR="00727BA6" w:rsidRPr="00727BA6" w:rsidRDefault="006B7BA3" w:rsidP="00727BA6">
      <w:pPr>
        <w:pStyle w:val="berschrift2"/>
        <w:spacing w:line="360" w:lineRule="auto"/>
        <w:rPr>
          <w:lang w:val="en-US"/>
        </w:rPr>
      </w:pPr>
      <w:r>
        <w:rPr>
          <w:lang w:val="en-US"/>
        </w:rPr>
        <w:t>Main a</w:t>
      </w:r>
      <w:r>
        <w:rPr>
          <w:lang w:val="en-US"/>
        </w:rPr>
        <w:t>chievements</w:t>
      </w:r>
    </w:p>
    <w:p w:rsidR="006B7BA3" w:rsidRPr="00ED3691" w:rsidRDefault="006B7BA3" w:rsidP="006B7BA3">
      <w:pPr>
        <w:pStyle w:val="KeinLeerraum"/>
        <w:rPr>
          <w:rFonts w:cstheme="minorHAnsi"/>
          <w:u w:val="single"/>
          <w:lang w:val="en-US"/>
        </w:rPr>
      </w:pPr>
      <w:r w:rsidRPr="00ED3691">
        <w:rPr>
          <w:rFonts w:cstheme="minorHAnsi"/>
          <w:u w:val="single"/>
          <w:lang w:val="en-US"/>
        </w:rPr>
        <w:t>Deliverables</w:t>
      </w:r>
    </w:p>
    <w:p w:rsidR="006B7BA3" w:rsidRPr="00ED3691" w:rsidRDefault="006B7BA3" w:rsidP="006B7BA3">
      <w:pPr>
        <w:pStyle w:val="KeinLeerraum"/>
        <w:rPr>
          <w:rFonts w:cstheme="minorHAnsi"/>
          <w:lang w:val="en-GB"/>
        </w:rPr>
      </w:pPr>
      <w:r w:rsidRPr="00ED3691">
        <w:rPr>
          <w:rFonts w:cstheme="minorHAnsi"/>
          <w:lang w:val="en-GB"/>
        </w:rPr>
        <w:t>D4.1.3 (M48, DESY) Technical report on beam diagnostics studies with detailed documentation.</w:t>
      </w:r>
    </w:p>
    <w:p w:rsidR="006B7BA3" w:rsidRPr="00ED3691" w:rsidRDefault="006B7BA3" w:rsidP="006B7BA3">
      <w:pPr>
        <w:pStyle w:val="KeinLeerraum"/>
        <w:rPr>
          <w:rFonts w:cstheme="minorHAnsi"/>
          <w:u w:val="single"/>
          <w:lang w:val="en-US"/>
        </w:rPr>
      </w:pPr>
      <w:r w:rsidRPr="00ED3691">
        <w:rPr>
          <w:rFonts w:cstheme="minorHAnsi"/>
          <w:u w:val="single"/>
          <w:lang w:val="en-US"/>
        </w:rPr>
        <w:t>Milestones</w:t>
      </w:r>
    </w:p>
    <w:p w:rsidR="006B7BA3" w:rsidRPr="00ED3691" w:rsidRDefault="006B7BA3" w:rsidP="006B7BA3">
      <w:pPr>
        <w:pStyle w:val="KeinLeerraum"/>
        <w:rPr>
          <w:rFonts w:cstheme="minorHAnsi"/>
          <w:lang w:val="en-GB"/>
        </w:rPr>
      </w:pPr>
      <w:r w:rsidRPr="00ED3691">
        <w:rPr>
          <w:rFonts w:cstheme="minorHAnsi"/>
          <w:lang w:val="en-GB"/>
        </w:rPr>
        <w:t xml:space="preserve">M4.1.4 (M36, DESY) Beam Diagnostics: Definition of the work organization for beam diagnostics studies </w:t>
      </w:r>
    </w:p>
    <w:p w:rsidR="006B7BA3" w:rsidRDefault="006B7BA3" w:rsidP="006B7BA3">
      <w:pPr>
        <w:pStyle w:val="KeinLeerraum"/>
        <w:rPr>
          <w:rFonts w:cstheme="minorHAnsi"/>
          <w:lang w:val="en-GB"/>
        </w:rPr>
      </w:pPr>
      <w:r w:rsidRPr="00ED3691">
        <w:rPr>
          <w:rFonts w:cstheme="minorHAnsi"/>
          <w:lang w:val="en-GB"/>
        </w:rPr>
        <w:t>M4.1.5 (M42, ESRF) Beam Diagnostics: Selection of the shaker device</w:t>
      </w:r>
    </w:p>
    <w:p w:rsidR="007627E9" w:rsidRDefault="007627E9" w:rsidP="00727BA6">
      <w:pPr>
        <w:pStyle w:val="berschrift2"/>
        <w:rPr>
          <w:lang w:val="en-US"/>
        </w:rPr>
      </w:pPr>
    </w:p>
    <w:p w:rsidR="007627E9" w:rsidRDefault="007627E9" w:rsidP="00727BA6">
      <w:pPr>
        <w:pStyle w:val="berschrift2"/>
        <w:rPr>
          <w:lang w:val="en-US"/>
        </w:rPr>
      </w:pPr>
    </w:p>
    <w:p w:rsidR="007627E9" w:rsidRDefault="007627E9" w:rsidP="00727BA6">
      <w:pPr>
        <w:pStyle w:val="berschrift2"/>
        <w:rPr>
          <w:lang w:val="en-US"/>
        </w:rPr>
      </w:pPr>
    </w:p>
    <w:p w:rsidR="007627E9" w:rsidRDefault="007627E9" w:rsidP="00727BA6">
      <w:pPr>
        <w:pStyle w:val="berschrift2"/>
        <w:rPr>
          <w:lang w:val="en-US"/>
        </w:rPr>
      </w:pPr>
    </w:p>
    <w:p w:rsidR="007627E9" w:rsidRDefault="007627E9" w:rsidP="00727BA6">
      <w:pPr>
        <w:pStyle w:val="berschrift2"/>
        <w:rPr>
          <w:lang w:val="en-US"/>
        </w:rPr>
      </w:pPr>
    </w:p>
    <w:p w:rsidR="007627E9" w:rsidRDefault="007627E9">
      <w:pPr>
        <w:spacing w:before="0" w:after="160" w:line="259" w:lineRule="auto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037C0A" w:rsidRDefault="00037C0A" w:rsidP="00727BA6">
      <w:pPr>
        <w:pStyle w:val="berschrift2"/>
        <w:rPr>
          <w:lang w:val="en-US"/>
        </w:rPr>
      </w:pPr>
      <w:r>
        <w:rPr>
          <w:lang w:val="en-US"/>
        </w:rPr>
        <w:lastRenderedPageBreak/>
        <w:t>Definition of the task</w:t>
      </w:r>
    </w:p>
    <w:p w:rsidR="007627E9" w:rsidRPr="00392D6F" w:rsidRDefault="007627E9" w:rsidP="007627E9">
      <w:pPr>
        <w:rPr>
          <w:u w:val="single"/>
          <w:lang w:val="en-US"/>
        </w:rPr>
      </w:pPr>
      <w:r w:rsidRPr="00392D6F">
        <w:rPr>
          <w:u w:val="single"/>
          <w:lang w:val="en-US"/>
        </w:rPr>
        <w:t xml:space="preserve">Name and purpose of this task: </w:t>
      </w:r>
    </w:p>
    <w:p w:rsidR="009920B9" w:rsidRDefault="007627E9" w:rsidP="009920B9">
      <w:pPr>
        <w:spacing w:before="100" w:beforeAutospacing="1" w:after="100" w:afterAutospacing="1" w:line="240" w:lineRule="auto"/>
        <w:rPr>
          <w:rFonts w:eastAsia="Times New Roman" w:cstheme="minorHAnsi"/>
          <w:lang w:val="en-US"/>
        </w:rPr>
      </w:pPr>
      <w:r w:rsidRPr="00ED3691">
        <w:rPr>
          <w:rFonts w:eastAsia="Times New Roman" w:cstheme="minorHAnsi"/>
          <w:lang w:val="en-US"/>
        </w:rPr>
        <w:t>Vertical emittance control, i.e. by applying a controlled excitation to the beam in the vertical plane, the real beam emittance is stabilized, i.e. kept constant, at a pre-defined value, and no longer fluctuating with e.g. the change an ID gap values in the numerous undulators by beam-line users.</w:t>
      </w:r>
      <w:r w:rsidR="009920B9">
        <w:rPr>
          <w:rFonts w:eastAsia="Times New Roman" w:cstheme="minorHAnsi"/>
          <w:lang w:val="en-US"/>
        </w:rPr>
        <w:t xml:space="preserve"> Following hardware components are required: </w:t>
      </w:r>
    </w:p>
    <w:p w:rsidR="009920B9" w:rsidRDefault="007627E9" w:rsidP="00685B5D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lang w:val="en-US"/>
        </w:rPr>
      </w:pPr>
      <w:r w:rsidRPr="009920B9">
        <w:rPr>
          <w:rFonts w:cstheme="minorHAnsi"/>
          <w:lang w:val="en-US"/>
        </w:rPr>
        <w:t>the vertical beam exciter, e.g. a shaker-device, or a stripline-device, and their control &amp; power electronics for driving the electric signal.</w:t>
      </w:r>
      <w:r w:rsidR="009920B9" w:rsidRPr="009920B9">
        <w:rPr>
          <w:rFonts w:cstheme="minorHAnsi"/>
          <w:lang w:val="en-US"/>
        </w:rPr>
        <w:t xml:space="preserve"> </w:t>
      </w:r>
    </w:p>
    <w:p w:rsidR="007627E9" w:rsidRPr="009920B9" w:rsidRDefault="007627E9" w:rsidP="00685B5D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lang w:val="en-US"/>
        </w:rPr>
      </w:pPr>
      <w:r w:rsidRPr="009920B9">
        <w:rPr>
          <w:rFonts w:cstheme="minorHAnsi"/>
          <w:lang w:val="en-US"/>
        </w:rPr>
        <w:t>a vertical emittance monitor, that produces the vertical emittance value at a suitable rate.</w:t>
      </w:r>
    </w:p>
    <w:p w:rsidR="007627E9" w:rsidRPr="00ED3691" w:rsidRDefault="009920B9" w:rsidP="009920B9">
      <w:pPr>
        <w:spacing w:line="240" w:lineRule="auto"/>
        <w:rPr>
          <w:rFonts w:eastAsia="Times New Roman" w:cstheme="minorHAnsi"/>
          <w:lang w:val="en-US"/>
        </w:rPr>
      </w:pPr>
      <w:r>
        <w:rPr>
          <w:rFonts w:cstheme="minorHAnsi"/>
          <w:lang w:val="en-US"/>
        </w:rPr>
        <w:t>The selection of emittance</w:t>
      </w:r>
      <w:r w:rsidR="007627E9" w:rsidRPr="00392D6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monitor (part </w:t>
      </w:r>
      <w:r w:rsidR="007627E9" w:rsidRPr="00392D6F">
        <w:rPr>
          <w:rFonts w:cstheme="minorHAnsi"/>
          <w:lang w:val="en-US"/>
        </w:rPr>
        <w:t>b)</w:t>
      </w:r>
      <w:r>
        <w:rPr>
          <w:rFonts w:cstheme="minorHAnsi"/>
          <w:lang w:val="en-US"/>
        </w:rPr>
        <w:t>)</w:t>
      </w:r>
      <w:r w:rsidR="007627E9" w:rsidRPr="00392D6F">
        <w:rPr>
          <w:rFonts w:cstheme="minorHAnsi"/>
          <w:lang w:val="en-US"/>
        </w:rPr>
        <w:t xml:space="preserve"> is not part of th</w:t>
      </w:r>
      <w:r>
        <w:rPr>
          <w:rFonts w:cstheme="minorHAnsi"/>
          <w:lang w:val="en-US"/>
        </w:rPr>
        <w:t>e</w:t>
      </w:r>
      <w:r w:rsidR="007627E9" w:rsidRPr="00392D6F">
        <w:rPr>
          <w:rFonts w:cstheme="minorHAnsi"/>
          <w:lang w:val="en-US"/>
        </w:rPr>
        <w:t xml:space="preserve"> knowledge</w:t>
      </w:r>
      <w:r>
        <w:rPr>
          <w:rFonts w:cstheme="minorHAnsi"/>
          <w:lang w:val="en-US"/>
        </w:rPr>
        <w:t xml:space="preserve"> </w:t>
      </w:r>
      <w:r w:rsidRPr="00392D6F">
        <w:rPr>
          <w:rFonts w:cstheme="minorHAnsi"/>
          <w:lang w:val="en-US"/>
        </w:rPr>
        <w:t>transfer</w:t>
      </w:r>
      <w:r>
        <w:rPr>
          <w:rFonts w:cstheme="minorHAnsi"/>
          <w:lang w:val="en-US"/>
        </w:rPr>
        <w:t xml:space="preserve"> from ESRF to DESY</w:t>
      </w:r>
      <w:r w:rsidR="007627E9" w:rsidRPr="00392D6F">
        <w:rPr>
          <w:rFonts w:cstheme="minorHAnsi"/>
          <w:lang w:val="en-US"/>
        </w:rPr>
        <w:t xml:space="preserve"> (WP4, task 4.1)</w:t>
      </w:r>
      <w:r>
        <w:rPr>
          <w:rFonts w:cstheme="minorHAnsi"/>
          <w:lang w:val="en-US"/>
        </w:rPr>
        <w:t xml:space="preserve">. </w:t>
      </w:r>
      <w:r w:rsidR="007627E9" w:rsidRPr="00392D6F">
        <w:rPr>
          <w:rFonts w:cstheme="minorHAnsi"/>
          <w:lang w:val="en-US"/>
        </w:rPr>
        <w:t xml:space="preserve"> </w:t>
      </w:r>
      <w:r w:rsidRPr="009920B9">
        <w:rPr>
          <w:rFonts w:cstheme="minorHAnsi"/>
          <w:lang w:val="en-US"/>
        </w:rPr>
        <w:t xml:space="preserve">It is assumed that the diagnostic experts at DESY do not need </w:t>
      </w:r>
      <w:r>
        <w:rPr>
          <w:rFonts w:cstheme="minorHAnsi"/>
          <w:lang w:val="en-US"/>
        </w:rPr>
        <w:t xml:space="preserve">the </w:t>
      </w:r>
      <w:r w:rsidRPr="009920B9">
        <w:rPr>
          <w:rFonts w:cstheme="minorHAnsi"/>
          <w:lang w:val="en-US"/>
        </w:rPr>
        <w:t xml:space="preserve">specific ESRF advice to produce such an emittance monitor. </w:t>
      </w:r>
      <w:r w:rsidR="007627E9" w:rsidRPr="00392D6F">
        <w:rPr>
          <w:rFonts w:cstheme="minorHAnsi"/>
          <w:lang w:val="en-US"/>
        </w:rPr>
        <w:t>So, this specific knowledge transfer would therefore be focused on that exciter (only), and notably first of all on the best possible choice to be made between a shaker and a stripline.</w:t>
      </w:r>
    </w:p>
    <w:p w:rsidR="007627E9" w:rsidRDefault="007627E9" w:rsidP="007627E9">
      <w:pPr>
        <w:pStyle w:val="KeinLeerraum"/>
        <w:rPr>
          <w:u w:val="single"/>
          <w:lang w:val="en-US"/>
        </w:rPr>
      </w:pPr>
      <w:r>
        <w:rPr>
          <w:u w:val="single"/>
          <w:lang w:val="en-US"/>
        </w:rPr>
        <w:t>Timeline – work organization – Task #1:</w:t>
      </w:r>
    </w:p>
    <w:p w:rsidR="007627E9" w:rsidRDefault="007627E9" w:rsidP="007627E9">
      <w:pPr>
        <w:pStyle w:val="KeinLeerraum"/>
        <w:numPr>
          <w:ilvl w:val="0"/>
          <w:numId w:val="5"/>
        </w:numPr>
        <w:rPr>
          <w:lang w:val="en-US"/>
        </w:rPr>
      </w:pPr>
      <w:r w:rsidRPr="006B7BA3">
        <w:rPr>
          <w:lang w:val="en-US"/>
        </w:rPr>
        <w:t xml:space="preserve">M36 </w:t>
      </w:r>
      <w:r>
        <w:rPr>
          <w:lang w:val="en-US"/>
        </w:rPr>
        <w:t>–</w:t>
      </w:r>
      <w:r w:rsidRPr="006B7BA3">
        <w:rPr>
          <w:lang w:val="en-US"/>
        </w:rPr>
        <w:t xml:space="preserve"> </w:t>
      </w:r>
      <w:r>
        <w:rPr>
          <w:lang w:val="en-US"/>
        </w:rPr>
        <w:t>01/2023</w:t>
      </w:r>
    </w:p>
    <w:p w:rsidR="007627E9" w:rsidRDefault="007627E9" w:rsidP="007627E9">
      <w:pPr>
        <w:pStyle w:val="KeinLeerraum"/>
        <w:numPr>
          <w:ilvl w:val="0"/>
          <w:numId w:val="5"/>
        </w:numPr>
        <w:rPr>
          <w:lang w:val="en-US"/>
        </w:rPr>
      </w:pPr>
      <w:r>
        <w:rPr>
          <w:lang w:val="en-US"/>
        </w:rPr>
        <w:t>M42 – 07/2023</w:t>
      </w:r>
    </w:p>
    <w:p w:rsidR="007627E9" w:rsidRPr="006B7BA3" w:rsidRDefault="007627E9" w:rsidP="007627E9">
      <w:pPr>
        <w:pStyle w:val="KeinLeerraum"/>
        <w:numPr>
          <w:ilvl w:val="0"/>
          <w:numId w:val="5"/>
        </w:numPr>
        <w:rPr>
          <w:lang w:val="en-US"/>
        </w:rPr>
      </w:pPr>
      <w:r>
        <w:rPr>
          <w:lang w:val="en-US"/>
        </w:rPr>
        <w:t>M48 – 01/2024</w:t>
      </w:r>
    </w:p>
    <w:p w:rsidR="007627E9" w:rsidRDefault="007627E9" w:rsidP="007627E9">
      <w:pPr>
        <w:pStyle w:val="KeinLeerraum"/>
        <w:rPr>
          <w:u w:val="single"/>
          <w:lang w:val="en-US"/>
        </w:rPr>
      </w:pPr>
    </w:p>
    <w:tbl>
      <w:tblPr>
        <w:tblStyle w:val="Gitternetztabelle3Akzent1"/>
        <w:tblW w:w="9329" w:type="dxa"/>
        <w:tblLook w:val="04A0" w:firstRow="1" w:lastRow="0" w:firstColumn="1" w:lastColumn="0" w:noHBand="0" w:noVBand="1"/>
      </w:tblPr>
      <w:tblGrid>
        <w:gridCol w:w="447"/>
        <w:gridCol w:w="366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7627E9" w:rsidTr="00385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7" w:type="dxa"/>
            <w:vAlign w:val="center"/>
          </w:tcPr>
          <w:p w:rsidR="007627E9" w:rsidRPr="006B7BA3" w:rsidRDefault="007627E9" w:rsidP="003852F0">
            <w:pPr>
              <w:pStyle w:val="KeinLeerraum"/>
              <w:jc w:val="center"/>
              <w:rPr>
                <w:lang w:val="en-US"/>
              </w:rPr>
            </w:pPr>
            <w:r>
              <w:rPr>
                <w:lang w:val="en-US"/>
              </w:rPr>
              <w:t>#</w:t>
            </w:r>
          </w:p>
        </w:tc>
        <w:tc>
          <w:tcPr>
            <w:tcW w:w="3669" w:type="dxa"/>
            <w:vAlign w:val="center"/>
          </w:tcPr>
          <w:p w:rsidR="007627E9" w:rsidRPr="006B7BA3" w:rsidRDefault="007627E9" w:rsidP="003852F0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B7BA3">
              <w:rPr>
                <w:lang w:val="en-US"/>
              </w:rPr>
              <w:t>Task/Month</w:t>
            </w:r>
          </w:p>
        </w:tc>
        <w:tc>
          <w:tcPr>
            <w:tcW w:w="401" w:type="dxa"/>
            <w:vAlign w:val="center"/>
          </w:tcPr>
          <w:p w:rsidR="007627E9" w:rsidRPr="00BA39AC" w:rsidRDefault="007627E9" w:rsidP="003852F0">
            <w:pPr>
              <w:pStyle w:val="KeinLeerraum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BA39AC">
              <w:rPr>
                <w:sz w:val="18"/>
                <w:szCs w:val="20"/>
                <w:lang w:val="en-US"/>
              </w:rPr>
              <w:t>36</w:t>
            </w:r>
          </w:p>
        </w:tc>
        <w:tc>
          <w:tcPr>
            <w:tcW w:w="401" w:type="dxa"/>
            <w:vAlign w:val="center"/>
          </w:tcPr>
          <w:p w:rsidR="007627E9" w:rsidRPr="00BA39AC" w:rsidRDefault="007627E9" w:rsidP="003852F0">
            <w:pPr>
              <w:pStyle w:val="KeinLeerraum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BA39AC">
              <w:rPr>
                <w:sz w:val="18"/>
                <w:szCs w:val="20"/>
                <w:lang w:val="en-US"/>
              </w:rPr>
              <w:t>37</w:t>
            </w:r>
          </w:p>
        </w:tc>
        <w:tc>
          <w:tcPr>
            <w:tcW w:w="401" w:type="dxa"/>
            <w:vAlign w:val="center"/>
          </w:tcPr>
          <w:p w:rsidR="007627E9" w:rsidRPr="00BA39AC" w:rsidRDefault="007627E9" w:rsidP="003852F0">
            <w:pPr>
              <w:pStyle w:val="KeinLeerraum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BA39AC">
              <w:rPr>
                <w:sz w:val="18"/>
                <w:szCs w:val="20"/>
                <w:lang w:val="en-US"/>
              </w:rPr>
              <w:t>38</w:t>
            </w:r>
          </w:p>
        </w:tc>
        <w:tc>
          <w:tcPr>
            <w:tcW w:w="401" w:type="dxa"/>
            <w:vAlign w:val="center"/>
          </w:tcPr>
          <w:p w:rsidR="007627E9" w:rsidRPr="00BA39AC" w:rsidRDefault="007627E9" w:rsidP="003852F0">
            <w:pPr>
              <w:pStyle w:val="KeinLeerraum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BA39AC">
              <w:rPr>
                <w:sz w:val="18"/>
                <w:szCs w:val="20"/>
                <w:lang w:val="en-US"/>
              </w:rPr>
              <w:t>39</w:t>
            </w:r>
          </w:p>
        </w:tc>
        <w:tc>
          <w:tcPr>
            <w:tcW w:w="401" w:type="dxa"/>
            <w:vAlign w:val="center"/>
          </w:tcPr>
          <w:p w:rsidR="007627E9" w:rsidRPr="00BA39AC" w:rsidRDefault="007627E9" w:rsidP="003852F0">
            <w:pPr>
              <w:pStyle w:val="KeinLeerraum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BA39AC">
              <w:rPr>
                <w:sz w:val="18"/>
                <w:szCs w:val="20"/>
                <w:lang w:val="en-US"/>
              </w:rPr>
              <w:t>40</w:t>
            </w:r>
          </w:p>
        </w:tc>
        <w:tc>
          <w:tcPr>
            <w:tcW w:w="401" w:type="dxa"/>
            <w:vAlign w:val="center"/>
          </w:tcPr>
          <w:p w:rsidR="007627E9" w:rsidRPr="00BA39AC" w:rsidRDefault="007627E9" w:rsidP="003852F0">
            <w:pPr>
              <w:pStyle w:val="KeinLeerraum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BA39AC">
              <w:rPr>
                <w:sz w:val="18"/>
                <w:szCs w:val="20"/>
                <w:lang w:val="en-US"/>
              </w:rPr>
              <w:t>41</w:t>
            </w:r>
          </w:p>
        </w:tc>
        <w:tc>
          <w:tcPr>
            <w:tcW w:w="401" w:type="dxa"/>
            <w:vAlign w:val="center"/>
          </w:tcPr>
          <w:p w:rsidR="007627E9" w:rsidRPr="00BA39AC" w:rsidRDefault="007627E9" w:rsidP="003852F0">
            <w:pPr>
              <w:pStyle w:val="KeinLeerraum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BA39AC">
              <w:rPr>
                <w:sz w:val="18"/>
                <w:szCs w:val="20"/>
                <w:lang w:val="en-US"/>
              </w:rPr>
              <w:t>42</w:t>
            </w:r>
          </w:p>
        </w:tc>
        <w:tc>
          <w:tcPr>
            <w:tcW w:w="401" w:type="dxa"/>
            <w:vAlign w:val="center"/>
          </w:tcPr>
          <w:p w:rsidR="007627E9" w:rsidRPr="00BA39AC" w:rsidRDefault="007627E9" w:rsidP="003852F0">
            <w:pPr>
              <w:pStyle w:val="KeinLeerraum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BA39AC">
              <w:rPr>
                <w:sz w:val="18"/>
                <w:szCs w:val="20"/>
                <w:lang w:val="en-US"/>
              </w:rPr>
              <w:t>43</w:t>
            </w:r>
          </w:p>
        </w:tc>
        <w:tc>
          <w:tcPr>
            <w:tcW w:w="401" w:type="dxa"/>
            <w:vAlign w:val="center"/>
          </w:tcPr>
          <w:p w:rsidR="007627E9" w:rsidRPr="00BA39AC" w:rsidRDefault="007627E9" w:rsidP="003852F0">
            <w:pPr>
              <w:pStyle w:val="KeinLeerraum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BA39AC">
              <w:rPr>
                <w:sz w:val="18"/>
                <w:szCs w:val="20"/>
                <w:lang w:val="en-US"/>
              </w:rPr>
              <w:t>44</w:t>
            </w:r>
          </w:p>
        </w:tc>
        <w:tc>
          <w:tcPr>
            <w:tcW w:w="401" w:type="dxa"/>
            <w:vAlign w:val="center"/>
          </w:tcPr>
          <w:p w:rsidR="007627E9" w:rsidRPr="00BA39AC" w:rsidRDefault="007627E9" w:rsidP="003852F0">
            <w:pPr>
              <w:pStyle w:val="KeinLeerraum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BA39AC">
              <w:rPr>
                <w:sz w:val="18"/>
                <w:szCs w:val="20"/>
                <w:lang w:val="en-US"/>
              </w:rPr>
              <w:t>45</w:t>
            </w:r>
          </w:p>
        </w:tc>
        <w:tc>
          <w:tcPr>
            <w:tcW w:w="401" w:type="dxa"/>
            <w:vAlign w:val="center"/>
          </w:tcPr>
          <w:p w:rsidR="007627E9" w:rsidRPr="00BA39AC" w:rsidRDefault="007627E9" w:rsidP="003852F0">
            <w:pPr>
              <w:pStyle w:val="KeinLeerraum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BA39AC">
              <w:rPr>
                <w:sz w:val="18"/>
                <w:szCs w:val="20"/>
                <w:lang w:val="en-US"/>
              </w:rPr>
              <w:t>46</w:t>
            </w:r>
          </w:p>
        </w:tc>
        <w:tc>
          <w:tcPr>
            <w:tcW w:w="401" w:type="dxa"/>
            <w:vAlign w:val="center"/>
          </w:tcPr>
          <w:p w:rsidR="007627E9" w:rsidRPr="00BA39AC" w:rsidRDefault="007627E9" w:rsidP="003852F0">
            <w:pPr>
              <w:pStyle w:val="KeinLeerraum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BA39AC">
              <w:rPr>
                <w:sz w:val="18"/>
                <w:szCs w:val="20"/>
                <w:lang w:val="en-US"/>
              </w:rPr>
              <w:t>47</w:t>
            </w:r>
          </w:p>
        </w:tc>
        <w:tc>
          <w:tcPr>
            <w:tcW w:w="401" w:type="dxa"/>
            <w:vAlign w:val="center"/>
          </w:tcPr>
          <w:p w:rsidR="007627E9" w:rsidRPr="00BA39AC" w:rsidRDefault="007627E9" w:rsidP="003852F0">
            <w:pPr>
              <w:pStyle w:val="KeinLeerraum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US"/>
              </w:rPr>
            </w:pPr>
            <w:r w:rsidRPr="00BA39AC">
              <w:rPr>
                <w:sz w:val="18"/>
                <w:szCs w:val="20"/>
                <w:lang w:val="en-US"/>
              </w:rPr>
              <w:t>48</w:t>
            </w:r>
          </w:p>
        </w:tc>
      </w:tr>
      <w:tr w:rsidR="007627E9" w:rsidTr="00385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:rsidR="007627E9" w:rsidRPr="00816154" w:rsidRDefault="007627E9" w:rsidP="003852F0">
            <w:pPr>
              <w:pStyle w:val="KeinLeerraum"/>
              <w:jc w:val="center"/>
              <w:rPr>
                <w:i w:val="0"/>
                <w:sz w:val="20"/>
                <w:lang w:val="en-US"/>
              </w:rPr>
            </w:pPr>
            <w:r w:rsidRPr="00816154">
              <w:rPr>
                <w:i w:val="0"/>
                <w:sz w:val="20"/>
                <w:lang w:val="en-US"/>
              </w:rPr>
              <w:t>1</w:t>
            </w:r>
          </w:p>
        </w:tc>
        <w:tc>
          <w:tcPr>
            <w:tcW w:w="3669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lang w:val="en-US"/>
              </w:rPr>
            </w:pPr>
            <w:r w:rsidRPr="00816154">
              <w:rPr>
                <w:i/>
                <w:sz w:val="20"/>
                <w:lang w:val="en-US"/>
              </w:rPr>
              <w:t>Define the work organization (M4.1.4)</w:t>
            </w: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</w:tr>
      <w:tr w:rsidR="007627E9" w:rsidTr="003852F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:rsidR="007627E9" w:rsidRPr="00816154" w:rsidRDefault="007627E9" w:rsidP="003852F0">
            <w:pPr>
              <w:pStyle w:val="KeinLeerraum"/>
              <w:jc w:val="center"/>
              <w:rPr>
                <w:i w:val="0"/>
                <w:sz w:val="20"/>
                <w:lang w:val="en-US"/>
              </w:rPr>
            </w:pPr>
            <w:r w:rsidRPr="00816154">
              <w:rPr>
                <w:i w:val="0"/>
                <w:sz w:val="20"/>
                <w:lang w:val="en-US"/>
              </w:rPr>
              <w:t>2</w:t>
            </w:r>
          </w:p>
        </w:tc>
        <w:tc>
          <w:tcPr>
            <w:tcW w:w="3669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lang w:val="en-US"/>
              </w:rPr>
            </w:pPr>
            <w:r w:rsidRPr="00816154">
              <w:rPr>
                <w:i/>
                <w:sz w:val="20"/>
                <w:lang w:val="en-US"/>
              </w:rPr>
              <w:t>Simulation task</w:t>
            </w: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</w:tr>
      <w:tr w:rsidR="007627E9" w:rsidTr="00385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:rsidR="007627E9" w:rsidRPr="00816154" w:rsidRDefault="007627E9" w:rsidP="003852F0">
            <w:pPr>
              <w:pStyle w:val="KeinLeerraum"/>
              <w:jc w:val="center"/>
              <w:rPr>
                <w:i w:val="0"/>
                <w:sz w:val="20"/>
                <w:lang w:val="en-US"/>
              </w:rPr>
            </w:pPr>
            <w:r w:rsidRPr="00816154">
              <w:rPr>
                <w:i w:val="0"/>
                <w:sz w:val="20"/>
                <w:lang w:val="en-US"/>
              </w:rPr>
              <w:t>3</w:t>
            </w:r>
          </w:p>
        </w:tc>
        <w:tc>
          <w:tcPr>
            <w:tcW w:w="3669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lang w:val="en-US"/>
              </w:rPr>
            </w:pPr>
            <w:r w:rsidRPr="00816154">
              <w:rPr>
                <w:i/>
                <w:sz w:val="20"/>
                <w:lang w:val="en-US"/>
              </w:rPr>
              <w:t>Emittance monitor selection</w:t>
            </w: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</w:tr>
      <w:tr w:rsidR="007627E9" w:rsidTr="003852F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:rsidR="007627E9" w:rsidRPr="00816154" w:rsidRDefault="007627E9" w:rsidP="003852F0">
            <w:pPr>
              <w:pStyle w:val="KeinLeerraum"/>
              <w:jc w:val="center"/>
              <w:rPr>
                <w:i w:val="0"/>
                <w:sz w:val="20"/>
                <w:lang w:val="en-US"/>
              </w:rPr>
            </w:pPr>
            <w:r w:rsidRPr="00816154">
              <w:rPr>
                <w:i w:val="0"/>
                <w:sz w:val="20"/>
                <w:lang w:val="en-US"/>
              </w:rPr>
              <w:t>4</w:t>
            </w:r>
          </w:p>
        </w:tc>
        <w:tc>
          <w:tcPr>
            <w:tcW w:w="3669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lang w:val="en-US"/>
              </w:rPr>
            </w:pPr>
            <w:r w:rsidRPr="00816154">
              <w:rPr>
                <w:i/>
                <w:sz w:val="20"/>
                <w:lang w:val="en-US"/>
              </w:rPr>
              <w:t>Shaker evaluation / selection (M</w:t>
            </w:r>
            <w:r w:rsidRPr="00816154">
              <w:rPr>
                <w:sz w:val="20"/>
                <w:lang w:val="en-GB"/>
              </w:rPr>
              <w:t>4.1.</w:t>
            </w:r>
            <w:r w:rsidRPr="00816154">
              <w:rPr>
                <w:i/>
                <w:sz w:val="20"/>
                <w:lang w:val="en-GB"/>
              </w:rPr>
              <w:t>5</w:t>
            </w:r>
            <w:r w:rsidRPr="00816154">
              <w:rPr>
                <w:i/>
                <w:sz w:val="20"/>
                <w:lang w:val="en-US"/>
              </w:rPr>
              <w:t>)</w:t>
            </w: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</w:tr>
      <w:tr w:rsidR="007627E9" w:rsidTr="00385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:rsidR="007627E9" w:rsidRPr="00816154" w:rsidRDefault="007627E9" w:rsidP="003852F0">
            <w:pPr>
              <w:pStyle w:val="KeinLeerraum"/>
              <w:jc w:val="center"/>
              <w:rPr>
                <w:i w:val="0"/>
                <w:sz w:val="20"/>
                <w:lang w:val="en-US"/>
              </w:rPr>
            </w:pPr>
            <w:r w:rsidRPr="00816154">
              <w:rPr>
                <w:i w:val="0"/>
                <w:sz w:val="20"/>
                <w:lang w:val="en-US"/>
              </w:rPr>
              <w:t>5</w:t>
            </w:r>
          </w:p>
        </w:tc>
        <w:tc>
          <w:tcPr>
            <w:tcW w:w="3669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lang w:val="en-US"/>
              </w:rPr>
            </w:pPr>
            <w:r w:rsidRPr="00816154">
              <w:rPr>
                <w:i/>
                <w:sz w:val="20"/>
                <w:lang w:val="en-US"/>
              </w:rPr>
              <w:t>HW/FW/SW implementation aspects</w:t>
            </w: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</w:tr>
      <w:tr w:rsidR="007627E9" w:rsidTr="003852F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:rsidR="007627E9" w:rsidRPr="00816154" w:rsidRDefault="007627E9" w:rsidP="003852F0">
            <w:pPr>
              <w:pStyle w:val="KeinLeerraum"/>
              <w:jc w:val="center"/>
              <w:rPr>
                <w:i w:val="0"/>
                <w:sz w:val="20"/>
                <w:lang w:val="en-US"/>
              </w:rPr>
            </w:pPr>
            <w:r w:rsidRPr="00816154">
              <w:rPr>
                <w:i w:val="0"/>
                <w:sz w:val="20"/>
                <w:lang w:val="en-US"/>
              </w:rPr>
              <w:t>6</w:t>
            </w:r>
          </w:p>
        </w:tc>
        <w:tc>
          <w:tcPr>
            <w:tcW w:w="3669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lang w:val="en-US"/>
              </w:rPr>
            </w:pPr>
            <w:r w:rsidRPr="00816154">
              <w:rPr>
                <w:i/>
                <w:sz w:val="20"/>
                <w:lang w:val="en-US"/>
              </w:rPr>
              <w:t>Summarize and write the report (</w:t>
            </w:r>
            <w:r w:rsidRPr="00816154">
              <w:rPr>
                <w:sz w:val="20"/>
                <w:lang w:val="en-GB"/>
              </w:rPr>
              <w:t>D4.1.3</w:t>
            </w:r>
            <w:r w:rsidRPr="00816154">
              <w:rPr>
                <w:i/>
                <w:sz w:val="20"/>
                <w:lang w:val="en-US"/>
              </w:rPr>
              <w:t>)</w:t>
            </w: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  <w:tc>
          <w:tcPr>
            <w:tcW w:w="401" w:type="dxa"/>
            <w:shd w:val="clear" w:color="auto" w:fill="F79646" w:themeFill="accent6"/>
            <w:vAlign w:val="center"/>
          </w:tcPr>
          <w:p w:rsidR="007627E9" w:rsidRPr="00816154" w:rsidRDefault="007627E9" w:rsidP="003852F0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  <w:u w:val="single"/>
                <w:lang w:val="en-US"/>
              </w:rPr>
            </w:pPr>
          </w:p>
        </w:tc>
      </w:tr>
    </w:tbl>
    <w:p w:rsidR="009920B9" w:rsidRPr="00392D6F" w:rsidRDefault="009920B9" w:rsidP="009920B9">
      <w:pPr>
        <w:rPr>
          <w:u w:val="single"/>
          <w:lang w:val="en-US"/>
        </w:rPr>
      </w:pPr>
      <w:r w:rsidRPr="00392D6F">
        <w:rPr>
          <w:u w:val="single"/>
          <w:lang w:val="en-US"/>
        </w:rPr>
        <w:t>Simulations required</w:t>
      </w:r>
      <w:r>
        <w:rPr>
          <w:u w:val="single"/>
          <w:lang w:val="en-US"/>
        </w:rPr>
        <w:t xml:space="preserve"> – Task #2</w:t>
      </w:r>
      <w:r w:rsidRPr="00392D6F">
        <w:rPr>
          <w:u w:val="single"/>
          <w:lang w:val="en-US"/>
        </w:rPr>
        <w:t xml:space="preserve">: </w:t>
      </w:r>
    </w:p>
    <w:p w:rsidR="009920B9" w:rsidRDefault="009920B9" w:rsidP="009920B9">
      <w:pPr>
        <w:rPr>
          <w:lang w:val="en-US"/>
        </w:rPr>
      </w:pPr>
      <w:r>
        <w:rPr>
          <w:lang w:val="en-US"/>
        </w:rPr>
        <w:t xml:space="preserve">For better </w:t>
      </w:r>
      <w:r w:rsidRPr="00037C0A">
        <w:rPr>
          <w:lang w:val="en-US"/>
        </w:rPr>
        <w:t>understand</w:t>
      </w:r>
      <w:r>
        <w:rPr>
          <w:lang w:val="en-US"/>
        </w:rPr>
        <w:t>ing of</w:t>
      </w:r>
      <w:r w:rsidRPr="00037C0A">
        <w:rPr>
          <w:lang w:val="en-US"/>
        </w:rPr>
        <w:t xml:space="preserve"> the </w:t>
      </w:r>
      <w:r w:rsidRPr="00392D6F">
        <w:rPr>
          <w:lang w:val="en-US"/>
        </w:rPr>
        <w:t>excit</w:t>
      </w:r>
      <w:r>
        <w:rPr>
          <w:lang w:val="en-US"/>
        </w:rPr>
        <w:t xml:space="preserve">ation of the </w:t>
      </w:r>
      <w:r w:rsidRPr="00392D6F">
        <w:rPr>
          <w:lang w:val="en-US"/>
        </w:rPr>
        <w:t>beam shaker</w:t>
      </w:r>
      <w:r>
        <w:rPr>
          <w:lang w:val="en-US"/>
        </w:rPr>
        <w:t xml:space="preserve"> (</w:t>
      </w:r>
      <w:r>
        <w:rPr>
          <w:lang w:val="en-GB"/>
        </w:rPr>
        <w:t>underlining concept</w:t>
      </w:r>
      <w:r>
        <w:rPr>
          <w:lang w:val="en-US"/>
        </w:rPr>
        <w:t>) a simulation using PETRA IV lattice is required. This simulation</w:t>
      </w:r>
      <w:r w:rsidR="00F80CC8">
        <w:rPr>
          <w:lang w:val="en-US"/>
        </w:rPr>
        <w:t>, performed by DESY accelerator physics group (Task 4.1 – beam dynamics group),</w:t>
      </w:r>
      <w:r>
        <w:rPr>
          <w:lang w:val="en-US"/>
        </w:rPr>
        <w:t xml:space="preserve"> should answer the following aspects for PETRA IV ring integration: </w:t>
      </w:r>
    </w:p>
    <w:p w:rsidR="009920B9" w:rsidRPr="00437F77" w:rsidRDefault="009920B9" w:rsidP="00437F77">
      <w:pPr>
        <w:pStyle w:val="Listenabsatz"/>
        <w:numPr>
          <w:ilvl w:val="0"/>
          <w:numId w:val="3"/>
        </w:numPr>
        <w:rPr>
          <w:lang w:val="en-US"/>
        </w:rPr>
      </w:pPr>
      <w:r w:rsidRPr="00437F77">
        <w:rPr>
          <w:lang w:val="en-US"/>
        </w:rPr>
        <w:t>What range of excitation do we need for PETRA IV integration</w:t>
      </w:r>
      <w:r w:rsidR="00F80CC8" w:rsidRPr="00437F77">
        <w:rPr>
          <w:lang w:val="en-US"/>
        </w:rPr>
        <w:t xml:space="preserve"> in timing / brilliance operation mode</w:t>
      </w:r>
      <w:r w:rsidRPr="00437F77">
        <w:rPr>
          <w:lang w:val="en-US"/>
        </w:rPr>
        <w:t>?</w:t>
      </w:r>
    </w:p>
    <w:p w:rsidR="009920B9" w:rsidRDefault="009920B9" w:rsidP="009920B9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Amplitude range</w:t>
      </w:r>
    </w:p>
    <w:p w:rsidR="009920B9" w:rsidRDefault="009920B9" w:rsidP="009920B9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Frequency range</w:t>
      </w:r>
    </w:p>
    <w:p w:rsidR="009920B9" w:rsidRDefault="009920B9" w:rsidP="009920B9">
      <w:pPr>
        <w:pStyle w:val="Listenabsatz"/>
        <w:numPr>
          <w:ilvl w:val="0"/>
          <w:numId w:val="3"/>
        </w:numPr>
        <w:rPr>
          <w:lang w:val="en-US"/>
        </w:rPr>
      </w:pPr>
      <w:r w:rsidRPr="00392D6F">
        <w:rPr>
          <w:lang w:val="en-US"/>
        </w:rPr>
        <w:t>What is excited by using a beam shaker</w:t>
      </w:r>
      <w:r w:rsidR="00F80CC8">
        <w:rPr>
          <w:lang w:val="en-US"/>
        </w:rPr>
        <w:t xml:space="preserve"> – physic</w:t>
      </w:r>
      <w:r w:rsidR="00F07430">
        <w:rPr>
          <w:lang w:val="en-US"/>
        </w:rPr>
        <w:t>al concept to evaluate point 3)</w:t>
      </w:r>
    </w:p>
    <w:p w:rsidR="009920B9" w:rsidRDefault="009920B9" w:rsidP="009920B9">
      <w:pPr>
        <w:pStyle w:val="Listenabsatz"/>
        <w:numPr>
          <w:ilvl w:val="1"/>
          <w:numId w:val="3"/>
        </w:numPr>
        <w:rPr>
          <w:lang w:val="en-US"/>
        </w:rPr>
      </w:pPr>
      <w:r w:rsidRPr="00392D6F">
        <w:rPr>
          <w:lang w:val="en-US"/>
        </w:rPr>
        <w:t>Intra-bunch excitation with broadband actuator</w:t>
      </w:r>
      <w:r>
        <w:rPr>
          <w:lang w:val="en-US"/>
        </w:rPr>
        <w:t xml:space="preserve"> for emittance control of every bunch</w:t>
      </w:r>
      <w:r w:rsidR="005B3E87">
        <w:rPr>
          <w:lang w:val="en-US"/>
        </w:rPr>
        <w:t>?</w:t>
      </w:r>
    </w:p>
    <w:p w:rsidR="00437F77" w:rsidRDefault="009920B9" w:rsidP="00B21E5A">
      <w:pPr>
        <w:pStyle w:val="Listenabsatz"/>
        <w:numPr>
          <w:ilvl w:val="1"/>
          <w:numId w:val="3"/>
        </w:numPr>
        <w:rPr>
          <w:lang w:val="en-US"/>
        </w:rPr>
      </w:pPr>
      <w:r w:rsidRPr="00437F77">
        <w:rPr>
          <w:lang w:val="en-US"/>
        </w:rPr>
        <w:t>Bunch-to-bunch excitation using BW-limited actuator for emittance control of all bunches (integrated effect, while single bunch does not change the emittance)</w:t>
      </w:r>
      <w:r w:rsidR="005B3E87">
        <w:rPr>
          <w:lang w:val="en-US"/>
        </w:rPr>
        <w:t>?</w:t>
      </w:r>
    </w:p>
    <w:p w:rsidR="00A45EE7" w:rsidRDefault="00A45EE7" w:rsidP="00B21E5A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>Combination of the two (a and b)?</w:t>
      </w:r>
      <w:bookmarkStart w:id="0" w:name="_GoBack"/>
      <w:bookmarkEnd w:id="0"/>
    </w:p>
    <w:p w:rsidR="00437F77" w:rsidRDefault="00437F77" w:rsidP="00437F77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Evaluate the i</w:t>
      </w:r>
      <w:r w:rsidRPr="00437F77">
        <w:rPr>
          <w:lang w:val="en-US"/>
        </w:rPr>
        <w:t>nteraction of emittance excitation</w:t>
      </w:r>
      <w:r>
        <w:rPr>
          <w:lang w:val="en-US"/>
        </w:rPr>
        <w:t>/compensation</w:t>
      </w:r>
      <w:r w:rsidRPr="00437F77">
        <w:rPr>
          <w:lang w:val="en-US"/>
        </w:rPr>
        <w:t xml:space="preserve"> with the feedback systems</w:t>
      </w:r>
      <w:r w:rsidR="009C0643">
        <w:rPr>
          <w:lang w:val="en-US"/>
        </w:rPr>
        <w:t>.</w:t>
      </w:r>
    </w:p>
    <w:p w:rsidR="00437F77" w:rsidRDefault="009C0643" w:rsidP="00437F77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Interaction with </w:t>
      </w:r>
      <w:r w:rsidR="00437F77">
        <w:rPr>
          <w:lang w:val="en-US"/>
        </w:rPr>
        <w:t>MBFB system</w:t>
      </w:r>
    </w:p>
    <w:p w:rsidR="00437F77" w:rsidRPr="00437F77" w:rsidRDefault="009C0643" w:rsidP="00437F77">
      <w:pPr>
        <w:pStyle w:val="Listenabsatz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Interaction with </w:t>
      </w:r>
      <w:r w:rsidR="00437F77">
        <w:rPr>
          <w:lang w:val="en-US"/>
        </w:rPr>
        <w:t>FOFB system</w:t>
      </w:r>
    </w:p>
    <w:p w:rsidR="007627E9" w:rsidRDefault="007627E9" w:rsidP="00392D6F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Emittance monitor selection – Task #3</w:t>
      </w:r>
    </w:p>
    <w:p w:rsidR="00F80CC8" w:rsidRDefault="007627E9" w:rsidP="00392D6F">
      <w:pPr>
        <w:rPr>
          <w:lang w:val="en-US"/>
        </w:rPr>
      </w:pPr>
      <w:r w:rsidRPr="007627E9">
        <w:rPr>
          <w:lang w:val="en-US"/>
        </w:rPr>
        <w:t xml:space="preserve">The selection and </w:t>
      </w:r>
      <w:r>
        <w:rPr>
          <w:lang w:val="en-US"/>
        </w:rPr>
        <w:t xml:space="preserve">the integration of </w:t>
      </w:r>
      <w:r w:rsidR="00F80CC8">
        <w:rPr>
          <w:lang w:val="en-US"/>
        </w:rPr>
        <w:t xml:space="preserve">the </w:t>
      </w:r>
      <w:r>
        <w:rPr>
          <w:lang w:val="en-US"/>
        </w:rPr>
        <w:t xml:space="preserve">emittance monitor </w:t>
      </w:r>
      <w:r w:rsidR="00F80CC8">
        <w:rPr>
          <w:lang w:val="en-US"/>
        </w:rPr>
        <w:t>from beamline into the emittance control scheme will be in close collaboration with the DESY beam diagnostics group to address following aspects:</w:t>
      </w:r>
    </w:p>
    <w:p w:rsidR="00F80CC8" w:rsidRDefault="00F80CC8" w:rsidP="00F80CC8">
      <w:pPr>
        <w:pStyle w:val="Listenabsatz"/>
        <w:numPr>
          <w:ilvl w:val="0"/>
          <w:numId w:val="9"/>
        </w:numPr>
        <w:spacing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Expected </w:t>
      </w:r>
      <w:r>
        <w:rPr>
          <w:rFonts w:cstheme="minorHAnsi"/>
          <w:lang w:val="en-US"/>
        </w:rPr>
        <w:t>r</w:t>
      </w:r>
      <w:r w:rsidRPr="00F80CC8">
        <w:rPr>
          <w:rFonts w:cstheme="minorHAnsi"/>
          <w:lang w:val="en-US"/>
        </w:rPr>
        <w:t>esolution</w:t>
      </w:r>
      <w:r>
        <w:rPr>
          <w:rFonts w:cstheme="minorHAnsi"/>
          <w:lang w:val="en-US"/>
        </w:rPr>
        <w:t xml:space="preserve"> of emittance monitor</w:t>
      </w:r>
    </w:p>
    <w:p w:rsidR="00F80CC8" w:rsidRDefault="00F80CC8" w:rsidP="00F80CC8">
      <w:pPr>
        <w:pStyle w:val="Listenabsatz"/>
        <w:numPr>
          <w:ilvl w:val="0"/>
          <w:numId w:val="9"/>
        </w:numPr>
        <w:spacing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Expected </w:t>
      </w:r>
      <w:r>
        <w:rPr>
          <w:rFonts w:cstheme="minorHAnsi"/>
          <w:lang w:val="en-US"/>
        </w:rPr>
        <w:t>update rate/time for feed-forward/feedback integration</w:t>
      </w:r>
    </w:p>
    <w:p w:rsidR="00F80CC8" w:rsidRPr="00F80CC8" w:rsidRDefault="00F80CC8" w:rsidP="00F80CC8">
      <w:pPr>
        <w:pStyle w:val="Listenabsatz"/>
        <w:numPr>
          <w:ilvl w:val="0"/>
          <w:numId w:val="9"/>
        </w:numPr>
        <w:spacing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Expected </w:t>
      </w:r>
      <w:r>
        <w:rPr>
          <w:rFonts w:cstheme="minorHAnsi"/>
          <w:lang w:val="en-US"/>
        </w:rPr>
        <w:t xml:space="preserve">processing time/latency </w:t>
      </w:r>
      <w:r w:rsidR="00ED29CD">
        <w:rPr>
          <w:rFonts w:cstheme="minorHAnsi"/>
          <w:lang w:val="en-US"/>
        </w:rPr>
        <w:t>of the monitor</w:t>
      </w:r>
    </w:p>
    <w:p w:rsidR="009920B9" w:rsidRDefault="009920B9" w:rsidP="009920B9">
      <w:pPr>
        <w:spacing w:line="240" w:lineRule="auto"/>
        <w:rPr>
          <w:rFonts w:cstheme="minorHAnsi"/>
          <w:u w:val="single"/>
          <w:lang w:val="en-US"/>
        </w:rPr>
      </w:pPr>
      <w:r w:rsidRPr="00ED3691">
        <w:rPr>
          <w:rFonts w:cstheme="minorHAnsi"/>
          <w:u w:val="single"/>
          <w:lang w:val="en-US"/>
        </w:rPr>
        <w:t>The relevant expertise of ESRF</w:t>
      </w:r>
      <w:r>
        <w:rPr>
          <w:rFonts w:cstheme="minorHAnsi"/>
          <w:u w:val="single"/>
          <w:lang w:val="en-US"/>
        </w:rPr>
        <w:t xml:space="preserve"> – Task #4, #5</w:t>
      </w:r>
      <w:r w:rsidRPr="00ED3691">
        <w:rPr>
          <w:rFonts w:cstheme="minorHAnsi"/>
          <w:u w:val="single"/>
          <w:lang w:val="en-US"/>
        </w:rPr>
        <w:t>:</w:t>
      </w:r>
    </w:p>
    <w:p w:rsidR="009920B9" w:rsidRPr="00ED3691" w:rsidRDefault="009920B9" w:rsidP="009920B9">
      <w:pPr>
        <w:spacing w:line="240" w:lineRule="auto"/>
        <w:rPr>
          <w:rFonts w:cstheme="minorHAnsi"/>
          <w:lang w:val="en-US"/>
        </w:rPr>
      </w:pPr>
      <w:r w:rsidRPr="00ED3691">
        <w:rPr>
          <w:rFonts w:cstheme="minorHAnsi"/>
          <w:lang w:val="en-US"/>
        </w:rPr>
        <w:t>At the ESRF we operate such vertical emittance control permanently and since long (2 years after the commissioning of EBS) to full satisfaction. For this we use a shaker-device, and a chain of electronics for control and power-driver. We also have and operate striplines, both horizontal and vertical, in our Storage Ring and Injector, and so we have practical experience &amp; insight in using these in the most adequate manner for different applications. We therefore think we can provide valuable advice to DESY, for the future Petra-4 ring, in first of all on the choice between the 2 different type of exciters, with their respective pros and cons, and also: the concept, the practical design &amp; implementation aspects, the encumbrance issues, the technological complexities, the electronics for control &amp; power-driving, the companies capable of realizing this hardware, the cost aspects etc.</w:t>
      </w:r>
    </w:p>
    <w:p w:rsidR="006B7BA3" w:rsidRDefault="006B7BA3" w:rsidP="00037C0A">
      <w:pPr>
        <w:pStyle w:val="KeinLeerraum"/>
        <w:rPr>
          <w:u w:val="single"/>
          <w:lang w:val="en-US"/>
        </w:rPr>
      </w:pPr>
    </w:p>
    <w:p w:rsidR="00037C0A" w:rsidRPr="00037C0A" w:rsidRDefault="00037C0A" w:rsidP="00037C0A">
      <w:pPr>
        <w:pStyle w:val="KeinLeerraum"/>
        <w:rPr>
          <w:u w:val="single"/>
          <w:lang w:val="en-US"/>
        </w:rPr>
      </w:pPr>
      <w:r w:rsidRPr="00037C0A">
        <w:rPr>
          <w:u w:val="single"/>
          <w:lang w:val="en-US"/>
        </w:rPr>
        <w:t>Next steps:</w:t>
      </w:r>
    </w:p>
    <w:p w:rsidR="006B7BA3" w:rsidRDefault="006B7BA3" w:rsidP="006B7BA3">
      <w:pPr>
        <w:pStyle w:val="KeinLeerraum"/>
        <w:numPr>
          <w:ilvl w:val="0"/>
          <w:numId w:val="4"/>
        </w:numPr>
        <w:rPr>
          <w:lang w:val="en-US"/>
        </w:rPr>
      </w:pPr>
      <w:r>
        <w:rPr>
          <w:lang w:val="en-US"/>
        </w:rPr>
        <w:t>P</w:t>
      </w:r>
      <w:r w:rsidR="00037C0A" w:rsidRPr="00037C0A">
        <w:rPr>
          <w:lang w:val="en-US"/>
        </w:rPr>
        <w:t>reparation of the agreement on the definition of this task, and the practical work involved and a tentative schedule.</w:t>
      </w:r>
    </w:p>
    <w:p w:rsidR="00037C0A" w:rsidRDefault="006B7BA3" w:rsidP="006B7BA3">
      <w:pPr>
        <w:pStyle w:val="KeinLeerraum"/>
        <w:numPr>
          <w:ilvl w:val="0"/>
          <w:numId w:val="4"/>
        </w:numPr>
        <w:rPr>
          <w:rFonts w:cstheme="minorHAnsi"/>
          <w:lang w:val="en-US"/>
        </w:rPr>
      </w:pPr>
      <w:r w:rsidRPr="006B7BA3">
        <w:rPr>
          <w:lang w:val="en-US"/>
        </w:rPr>
        <w:t>K</w:t>
      </w:r>
      <w:r w:rsidRPr="006B7BA3">
        <w:rPr>
          <w:lang w:val="en-US"/>
        </w:rPr>
        <w:t>ick-off meeting, to endorse the above agreement, and to define precisely the actions and work for the remaining time of this collaboration.</w:t>
      </w:r>
      <w:r w:rsidR="00037C0A" w:rsidRPr="00037C0A">
        <w:rPr>
          <w:lang w:val="en-US"/>
        </w:rPr>
        <w:br/>
      </w:r>
    </w:p>
    <w:p w:rsidR="00037C0A" w:rsidRDefault="00037C0A" w:rsidP="00037C0A">
      <w:pPr>
        <w:pStyle w:val="KeinLeerraum"/>
        <w:rPr>
          <w:rFonts w:cstheme="minorHAnsi"/>
          <w:lang w:val="en-US"/>
        </w:rPr>
      </w:pPr>
    </w:p>
    <w:sectPr w:rsidR="00037C0A" w:rsidSect="00B64F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B07"/>
    <w:multiLevelType w:val="hybridMultilevel"/>
    <w:tmpl w:val="F71A29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4535"/>
    <w:multiLevelType w:val="hybridMultilevel"/>
    <w:tmpl w:val="ADFE6D62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1BA67169"/>
    <w:multiLevelType w:val="multilevel"/>
    <w:tmpl w:val="0407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2EF63F6F"/>
    <w:multiLevelType w:val="hybridMultilevel"/>
    <w:tmpl w:val="7FF2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8110A"/>
    <w:multiLevelType w:val="hybridMultilevel"/>
    <w:tmpl w:val="FBF6D6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B2536"/>
    <w:multiLevelType w:val="hybridMultilevel"/>
    <w:tmpl w:val="30EEA1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43F74"/>
    <w:multiLevelType w:val="hybridMultilevel"/>
    <w:tmpl w:val="795A01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17740"/>
    <w:multiLevelType w:val="hybridMultilevel"/>
    <w:tmpl w:val="342276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E755C"/>
    <w:multiLevelType w:val="hybridMultilevel"/>
    <w:tmpl w:val="2184372A"/>
    <w:lvl w:ilvl="0" w:tplc="04090017">
      <w:start w:val="1"/>
      <w:numFmt w:val="lowerLetter"/>
      <w:lvlText w:val="%1)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91"/>
    <w:rsid w:val="00037C0A"/>
    <w:rsid w:val="00101A50"/>
    <w:rsid w:val="002E7AB9"/>
    <w:rsid w:val="00392D6F"/>
    <w:rsid w:val="0041054A"/>
    <w:rsid w:val="00437F77"/>
    <w:rsid w:val="004E4828"/>
    <w:rsid w:val="005913CF"/>
    <w:rsid w:val="005B3E87"/>
    <w:rsid w:val="006B7BA3"/>
    <w:rsid w:val="006D54B5"/>
    <w:rsid w:val="00727BA6"/>
    <w:rsid w:val="0074402A"/>
    <w:rsid w:val="007627E9"/>
    <w:rsid w:val="007A17FB"/>
    <w:rsid w:val="00816154"/>
    <w:rsid w:val="00821A7F"/>
    <w:rsid w:val="0089525F"/>
    <w:rsid w:val="00901F31"/>
    <w:rsid w:val="009920B9"/>
    <w:rsid w:val="009C0643"/>
    <w:rsid w:val="00A45EE7"/>
    <w:rsid w:val="00B64F28"/>
    <w:rsid w:val="00BA39AC"/>
    <w:rsid w:val="00C77967"/>
    <w:rsid w:val="00C836FD"/>
    <w:rsid w:val="00D4213A"/>
    <w:rsid w:val="00D746BF"/>
    <w:rsid w:val="00E2657C"/>
    <w:rsid w:val="00ED29CD"/>
    <w:rsid w:val="00ED3691"/>
    <w:rsid w:val="00F07430"/>
    <w:rsid w:val="00F8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B4F4"/>
  <w15:chartTrackingRefBased/>
  <w15:docId w15:val="{B99698F0-2549-47B7-9C48-F5AADA10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3691"/>
    <w:pPr>
      <w:spacing w:before="240" w:after="240" w:line="276" w:lineRule="auto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3691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7B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36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ED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einLeerraum">
    <w:name w:val="No Spacing"/>
    <w:uiPriority w:val="1"/>
    <w:qFormat/>
    <w:rsid w:val="00ED3691"/>
    <w:pPr>
      <w:spacing w:after="0" w:line="240" w:lineRule="auto"/>
    </w:pPr>
    <w:rPr>
      <w:lang w:val="de-DE"/>
    </w:rPr>
  </w:style>
  <w:style w:type="paragraph" w:styleId="Listenabsatz">
    <w:name w:val="List Paragraph"/>
    <w:basedOn w:val="Standard"/>
    <w:uiPriority w:val="34"/>
    <w:qFormat/>
    <w:rsid w:val="00392D6F"/>
    <w:pPr>
      <w:ind w:left="720"/>
      <w:contextualSpacing/>
    </w:pPr>
  </w:style>
  <w:style w:type="table" w:styleId="Tabellenraster">
    <w:name w:val="Table Grid"/>
    <w:basedOn w:val="NormaleTabelle"/>
    <w:uiPriority w:val="59"/>
    <w:rsid w:val="006B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6B7B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3Akzent1">
    <w:name w:val="Grid Table 3 Accent 1"/>
    <w:basedOn w:val="NormaleTabelle"/>
    <w:uiPriority w:val="48"/>
    <w:rsid w:val="00C836F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727B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37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37F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6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9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30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DESY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Pfeiffer, Sven</dc:creator>
  <cp:keywords/>
  <dc:description/>
  <cp:lastModifiedBy>Pfeiffer, Sven</cp:lastModifiedBy>
  <cp:revision>22</cp:revision>
  <dcterms:created xsi:type="dcterms:W3CDTF">2022-11-04T06:59:00Z</dcterms:created>
  <dcterms:modified xsi:type="dcterms:W3CDTF">2022-11-10T09:05:00Z</dcterms:modified>
</cp:coreProperties>
</file>